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CBD6" w14:textId="3DC14CDF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0" w:name="_GoBack"/>
      <w:bookmarkEnd w:id="0"/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UMOWA NAJMU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SZKOLNYCH  nr …../….</w:t>
      </w:r>
    </w:p>
    <w:p w14:paraId="074A789C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sz w:val="20"/>
          <w:szCs w:val="20"/>
          <w:vertAlign w:val="subscript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zawarta w Szczecinie w dniu ………….. r.</w:t>
      </w:r>
    </w:p>
    <w:p w14:paraId="4F019E0F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1997C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pomiędzy:</w:t>
      </w:r>
    </w:p>
    <w:p w14:paraId="4CE10144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6EFA6238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Gminą Miasto Szczecin – Szkołą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……………………………….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Nr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.….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 Szczecinie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ul………………., …-….Szczecin, </w:t>
      </w:r>
      <w:bookmarkStart w:id="1" w:name="_Hlk96678931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NIP: 8510309410, REGON: 811684232</w:t>
      </w:r>
      <w:bookmarkEnd w:id="1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reprezentowaną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przez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</w:t>
      </w:r>
    </w:p>
    <w:p w14:paraId="1696FA5A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– Dyrektora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Szkoły …………………………….Nr .…..w Szczecinie, na podstawie pełnomocnictwa Prezydenta Miasta Szczecin nr ………………………… z dnia …………………….r.  </w:t>
      </w:r>
    </w:p>
    <w:p w14:paraId="390F19D9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zwaną dalej: </w:t>
      </w:r>
      <w:r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„Wynajmującym”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14:paraId="135F7AC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0F672DF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a</w:t>
      </w:r>
    </w:p>
    <w:p w14:paraId="19A1A689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97EA138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</w:p>
    <w:p w14:paraId="39FBDE2D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zwaną/</w:t>
      </w:r>
      <w:proofErr w:type="spellStart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ym</w:t>
      </w:r>
      <w:proofErr w:type="spellEnd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dalej „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Najemcą”,</w:t>
      </w:r>
    </w:p>
    <w:p w14:paraId="0E872F5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33062B7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łącznie zwani: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,,stronami”.</w:t>
      </w:r>
    </w:p>
    <w:p w14:paraId="2247EA36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BF0EA77" w14:textId="4AFCB5D3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Niniejsza umowa, zwana dalej Umową, jest zawierana na podstawie § 4 ust. </w:t>
      </w:r>
      <w:bookmarkStart w:id="2" w:name="_Hlk102215420"/>
      <w:bookmarkStart w:id="3" w:name="_Hlk102214792"/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bookmarkEnd w:id="2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bookmarkEnd w:id="3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Uchwały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Nr  LXIII/1169/06 Rady Miasta Szczecina z dnia 16 października 2006 r. w sprawie określenia szczegółowych warunków korzystania z nieruchomości gminnych przez miejskie jednostki organizacyjne nie posiadające osobowości prawnej (Dz. U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rz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. Woj. </w:t>
      </w:r>
      <w:proofErr w:type="spellStart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Zachodniopom</w:t>
      </w:r>
      <w:proofErr w:type="spellEnd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 z 2006 r. Nr 108, poz. 2078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2007 r. nr 95, poz. 1677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2009 r. Nr 4, poz. 154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2010 r. Nr 10, poz. 188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2012 r. poz. 1535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2015 r., poz. 2447). </w:t>
      </w:r>
    </w:p>
    <w:p w14:paraId="245FB0B2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60A71DD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1</w:t>
      </w:r>
      <w:r w:rsidRPr="004D5F3F">
        <w:rPr>
          <w:rFonts w:ascii="Tahoma" w:eastAsia="Calibri" w:hAnsi="Tahoma" w:cs="Tahoma"/>
          <w:sz w:val="20"/>
          <w:szCs w:val="20"/>
        </w:rPr>
        <w:t xml:space="preserve"> </w:t>
      </w:r>
    </w:p>
    <w:p w14:paraId="59BECC8D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sz w:val="20"/>
          <w:szCs w:val="20"/>
        </w:rPr>
        <w:t>Przedmiot Umowy</w:t>
      </w:r>
    </w:p>
    <w:p w14:paraId="07BA2FF1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CCDE78D" w14:textId="5BCDC8B2" w:rsidR="004D5F3F" w:rsidRPr="004D5F3F" w:rsidRDefault="004D5F3F" w:rsidP="0081087E">
      <w:pPr>
        <w:numPr>
          <w:ilvl w:val="0"/>
          <w:numId w:val="16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Przedmiotem najmu jest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położona w budynku Szkoły/Przedszkola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stanowiącym własność Gminy Miasta Szczecin i znajdującym się w dyspozycji Szkoły/</w:t>
      </w:r>
      <w:r w:rsidR="00022BC5" w:rsidRPr="004D5F3F">
        <w:rPr>
          <w:rFonts w:ascii="Tahoma" w:eastAsia="Times New Roman" w:hAnsi="Tahoma" w:cs="Tahoma"/>
          <w:sz w:val="20"/>
          <w:szCs w:val="20"/>
          <w:lang w:eastAsia="pl-PL"/>
        </w:rPr>
        <w:t>Przedszkola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, zwany/-a/-e dalej: </w:t>
      </w:r>
      <w:r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,,</w:t>
      </w:r>
      <w:r w:rsidR="00A04BF7"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przedmiotem</w:t>
      </w:r>
      <w:r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najmu”.</w:t>
      </w:r>
    </w:p>
    <w:p w14:paraId="5238CC23" w14:textId="2EA42020" w:rsidR="004D5F3F" w:rsidRPr="004D5F3F" w:rsidRDefault="004D5F3F" w:rsidP="0081087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2.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oddaje, a Najemca bierze w najem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 określoną/-e ust. 1, w stanie technicznym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i z wyposażeniem opisanym Załączniku nr 1 w terminach wskazanych w Załączniku nr 2, 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z wyłączeniem dni wolnych od nauki i pracy zgodnie z kalendarzem MEN na rok </w:t>
      </w:r>
      <w:r w:rsidR="00D810BC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[…]/[…] </w:t>
      </w:r>
      <w:r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– ten fragment też do dostosowania przez placówki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.</w:t>
      </w:r>
    </w:p>
    <w:p w14:paraId="79F57C16" w14:textId="77777777" w:rsidR="004D5F3F" w:rsidRPr="004D5F3F" w:rsidRDefault="004D5F3F" w:rsidP="0081087E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highlight w:val="yellow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będzie używał przedmiot najmu w celu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, zwany dalej: </w:t>
      </w:r>
      <w:bookmarkStart w:id="4" w:name="_Hlk102215529"/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 […]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”. </w:t>
      </w:r>
      <w:bookmarkEnd w:id="4"/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(tutaj nazwa celu, np. zebranie, zawody itp.).</w:t>
      </w:r>
    </w:p>
    <w:p w14:paraId="59A64430" w14:textId="77777777" w:rsidR="004D5F3F" w:rsidRPr="004D5F3F" w:rsidRDefault="004D5F3F" w:rsidP="0081087E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Jakakolwiek zmiana celu </w:t>
      </w:r>
      <w:r w:rsidRPr="004D5F3F">
        <w:rPr>
          <w:rFonts w:ascii="Tahoma" w:eastAsia="Calibri" w:hAnsi="Tahoma" w:cs="Tahoma"/>
          <w:sz w:val="20"/>
          <w:szCs w:val="20"/>
        </w:rPr>
        <w:t>działalności, określonego w ust. 3, wymaga uprzedniej pisemnej zgody Wynajmującego.</w:t>
      </w:r>
    </w:p>
    <w:p w14:paraId="5A92CA5D" w14:textId="77777777" w:rsidR="004D5F3F" w:rsidRPr="004D5F3F" w:rsidRDefault="004D5F3F" w:rsidP="0081087E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przypadkach uzasadnionych potrzebami Wynajmującego, dopuszcza się możliwość zmiany zasad najmu określonych w ustępie 1-2 poprzez wskazanie przez personel szkoły innego pomieszczenia dla prowadzenia działalności Najemcy lub przez zmianę terminu prowadzenia jego działalności, informując Najemcę o zmianie odpowiednio wcześniej. </w:t>
      </w:r>
    </w:p>
    <w:p w14:paraId="35AC3FF1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A3F5442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A9043E9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2 </w:t>
      </w:r>
    </w:p>
    <w:p w14:paraId="0B8A3CFB" w14:textId="2D85C01D" w:rsid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Wynagrodzenie </w:t>
      </w:r>
    </w:p>
    <w:p w14:paraId="7F27DDEA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1521C0F" w14:textId="7E63B49C" w:rsidR="004D5F3F" w:rsidRPr="004D5F3F" w:rsidRDefault="004D5F3F" w:rsidP="0081087E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Ustala się wysokość czynszu najmu za każdą godzinę </w:t>
      </w:r>
      <w:bookmarkStart w:id="5" w:name="_Hlk102216607"/>
      <w:r w:rsidR="00FA215F"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bookmarkEnd w:id="5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(</w:t>
      </w:r>
      <w:r w:rsidR="00FA215F"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min.) na kwotę 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 […]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”.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(słownie: 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 […]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”.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) netto plus obowiązujący podatek VAT. Kwota obejmuje koszty utrzymania pomieszczenia. </w:t>
      </w:r>
    </w:p>
    <w:p w14:paraId="560B521A" w14:textId="59C2D503" w:rsidR="004D5F3F" w:rsidRPr="004D5F3F" w:rsidRDefault="004D5F3F" w:rsidP="0081087E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Czynsz płatny będzie miesięcznie w wysokości stanowiącej iloczyn stawki czynszu określonej w § 2 ust. 1 oraz ilości godzin </w:t>
      </w:r>
      <w:r>
        <w:rPr>
          <w:rFonts w:ascii="Tahoma" w:eastAsia="Times New Roman" w:hAnsi="Tahoma" w:cs="Tahoma"/>
          <w:sz w:val="20"/>
          <w:szCs w:val="20"/>
          <w:lang w:eastAsia="pl-PL"/>
        </w:rPr>
        <w:t>najmu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przypadających w danych miesiącu, określonych na podstawie § 1 ust. 2 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mowy. </w:t>
      </w:r>
    </w:p>
    <w:p w14:paraId="2343C623" w14:textId="50BB6EF2" w:rsidR="00E019F7" w:rsidRPr="00E019F7" w:rsidRDefault="00E019F7" w:rsidP="00E019F7">
      <w:pPr>
        <w:pStyle w:val="Akapitzlist"/>
        <w:numPr>
          <w:ilvl w:val="0"/>
          <w:numId w:val="3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19F7">
        <w:rPr>
          <w:rFonts w:ascii="Tahoma" w:eastAsia="Times New Roman" w:hAnsi="Tahoma" w:cs="Tahoma"/>
          <w:sz w:val="20"/>
          <w:szCs w:val="20"/>
          <w:lang w:eastAsia="pl-PL"/>
        </w:rPr>
        <w:t xml:space="preserve">Najemca zapłaci Wynajmującemu czynsz najmu w wysokości stanowiącej sumy kwot określonych na podstawie w ust. 1 i 2 z góry do dnia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E019F7">
        <w:rPr>
          <w:rFonts w:ascii="Tahoma" w:eastAsia="Times New Roman" w:hAnsi="Tahoma" w:cs="Tahoma"/>
          <w:sz w:val="20"/>
          <w:szCs w:val="20"/>
          <w:lang w:eastAsia="pl-PL"/>
        </w:rPr>
        <w:t xml:space="preserve"> każdego miesiąca za miesiąc, za który należna jest płatność, na podstawie faktury wystawionej przez Wynajmującego, na rachunek Wynajmującego prowadzony w banku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E019F7">
        <w:rPr>
          <w:rFonts w:ascii="Tahoma" w:eastAsia="Times New Roman" w:hAnsi="Tahoma" w:cs="Tahoma"/>
          <w:sz w:val="20"/>
          <w:szCs w:val="20"/>
          <w:lang w:eastAsia="pl-PL"/>
        </w:rPr>
        <w:t xml:space="preserve">nr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. </w:t>
      </w:r>
    </w:p>
    <w:p w14:paraId="04145148" w14:textId="77777777" w:rsidR="004D5F3F" w:rsidRPr="004D5F3F" w:rsidRDefault="004D5F3F" w:rsidP="00E019F7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Za dzień zapłaty uważa się dzień uznania rachunku Wynajmującego. </w:t>
      </w:r>
    </w:p>
    <w:p w14:paraId="605F4764" w14:textId="77777777" w:rsidR="004D5F3F" w:rsidRPr="004D5F3F" w:rsidRDefault="004D5F3F" w:rsidP="0081087E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>Wyłącza się prawo do dokonywania przez Najemcę jakichkolwiek potrące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ń </w:t>
      </w:r>
      <w:r w:rsidRPr="004D5F3F">
        <w:rPr>
          <w:rFonts w:ascii="Tahoma" w:eastAsia="Calibri" w:hAnsi="Tahoma" w:cs="Tahoma"/>
          <w:sz w:val="20"/>
          <w:szCs w:val="20"/>
        </w:rPr>
        <w:t>własnych wierzytelności lub nabytych wierzytelności z wierzytelnościam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i </w:t>
      </w:r>
      <w:r w:rsidRPr="004D5F3F">
        <w:rPr>
          <w:rFonts w:ascii="Tahoma" w:eastAsia="Calibri" w:hAnsi="Tahoma" w:cs="Tahoma"/>
          <w:sz w:val="20"/>
          <w:szCs w:val="20"/>
        </w:rPr>
        <w:t>Wynajmującego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4242AF1B" w14:textId="12977A66" w:rsidR="004D5F3F" w:rsidRPr="004D5F3F" w:rsidRDefault="004D5F3F" w:rsidP="0081087E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używania przedmiotu najmu bez tytułu prawnego Najemca zapłaci wynagrodzenie za bezumowne korzystanie w kwocie odpowiadającej 2-krotnej wysokości czynszu, określonego w ust. 1 za każdy 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 xml:space="preserve">rozpoczęty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miesiąc.  </w:t>
      </w:r>
    </w:p>
    <w:p w14:paraId="1344683E" w14:textId="77777777" w:rsidR="004D5F3F" w:rsidRPr="004D5F3F" w:rsidRDefault="004D5F3F" w:rsidP="0081087E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color w:val="000000"/>
          <w:sz w:val="20"/>
          <w:szCs w:val="20"/>
          <w:shd w:val="clear" w:color="auto" w:fill="FFFFFF"/>
        </w:rPr>
        <w:t xml:space="preserve">Wynajmujący oświadcza, a Najemca przyjmuje do wiadomości, </w:t>
      </w:r>
      <w:r w:rsidRPr="004D5F3F">
        <w:rPr>
          <w:rFonts w:ascii="Tahoma" w:eastAsia="Calibri" w:hAnsi="Tahoma" w:cs="Tahoma"/>
          <w:sz w:val="20"/>
          <w:szCs w:val="20"/>
        </w:rPr>
        <w:t>faktury wystawiane przez Wynajmującego będą zawierały następujące dane:</w:t>
      </w:r>
    </w:p>
    <w:p w14:paraId="425FC64D" w14:textId="77777777" w:rsidR="004D5F3F" w:rsidRPr="004D5F3F" w:rsidRDefault="004D5F3F" w:rsidP="0081087E">
      <w:pPr>
        <w:tabs>
          <w:tab w:val="num" w:pos="284"/>
        </w:tabs>
        <w:spacing w:after="0" w:line="276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Sprzedawca: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 Gmina Miasto Szczecin,</w:t>
      </w:r>
    </w:p>
    <w:p w14:paraId="6F473F27" w14:textId="77777777" w:rsidR="004D5F3F" w:rsidRPr="004D5F3F" w:rsidRDefault="004D5F3F" w:rsidP="0081087E">
      <w:pPr>
        <w:tabs>
          <w:tab w:val="num" w:pos="284"/>
        </w:tabs>
        <w:spacing w:after="0" w:line="276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                          pl. Armii Krajowej 1,</w:t>
      </w:r>
    </w:p>
    <w:p w14:paraId="1B4EAA70" w14:textId="77777777" w:rsidR="004D5F3F" w:rsidRPr="004D5F3F" w:rsidRDefault="004D5F3F" w:rsidP="0081087E">
      <w:pPr>
        <w:tabs>
          <w:tab w:val="num" w:pos="284"/>
        </w:tabs>
        <w:spacing w:after="0" w:line="276" w:lineRule="auto"/>
        <w:ind w:firstLine="426"/>
        <w:jc w:val="both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                         70-456 Szczecin,</w:t>
      </w:r>
    </w:p>
    <w:p w14:paraId="33ED5A7D" w14:textId="77777777" w:rsidR="004D5F3F" w:rsidRPr="004D5F3F" w:rsidRDefault="004D5F3F" w:rsidP="0081087E">
      <w:pPr>
        <w:tabs>
          <w:tab w:val="num" w:pos="284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                  </w:t>
      </w:r>
      <w:r w:rsidRPr="004D5F3F">
        <w:rPr>
          <w:rFonts w:ascii="Tahoma" w:eastAsia="Calibri" w:hAnsi="Tahoma" w:cs="Tahoma"/>
          <w:sz w:val="20"/>
          <w:szCs w:val="20"/>
        </w:rPr>
        <w:tab/>
        <w:t xml:space="preserve">          NIP: 8510309410, </w:t>
      </w:r>
    </w:p>
    <w:p w14:paraId="72E8A7EE" w14:textId="7EA3DD5B" w:rsidR="0081087E" w:rsidRDefault="004D5F3F" w:rsidP="0081087E">
      <w:pPr>
        <w:tabs>
          <w:tab w:val="num" w:pos="284"/>
        </w:tabs>
        <w:spacing w:after="200" w:line="276" w:lineRule="auto"/>
        <w:ind w:left="72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Wystawca: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    </w:t>
      </w:r>
      <w:r w:rsidR="0081087E"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="0081087E"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 […]</w:t>
      </w:r>
      <w:r w:rsidR="0081087E"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”. </w:t>
      </w:r>
    </w:p>
    <w:p w14:paraId="64746067" w14:textId="77777777" w:rsidR="00C63D17" w:rsidRPr="00C63D17" w:rsidRDefault="00C63D17" w:rsidP="00C63D17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D17">
        <w:rPr>
          <w:rFonts w:ascii="Tahoma" w:eastAsia="Times New Roman" w:hAnsi="Tahoma" w:cs="Tahoma"/>
          <w:sz w:val="20"/>
          <w:szCs w:val="20"/>
          <w:lang w:eastAsia="pl-PL"/>
        </w:rPr>
        <w:t>W przypadku, gdy w danym miesiącu dostęp do pomieszczeń biurowych będących przedmiotem najmu będzie niemożliwy lub utrudniony z przyczyn leżących po stronie Wynajmującego lub zajęcia nie odbędą się z przyczyn leżących po stronie Wynajmującego, rozliczenie czynszu za ten miesiąc nastąpi na podstawie faktury korygującej – uwzględniającej okres kiedy nie można było korzystać z przedmiotu najmu.</w:t>
      </w:r>
    </w:p>
    <w:p w14:paraId="6E868303" w14:textId="77777777" w:rsidR="0081087E" w:rsidRPr="0081087E" w:rsidRDefault="0081087E" w:rsidP="0081087E">
      <w:pPr>
        <w:numPr>
          <w:ilvl w:val="0"/>
          <w:numId w:val="18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W przypadku opóźnienia w zapłacie ww. należności Wynajmujący ma prawo naliczyć odsetki ustawowe.</w:t>
      </w:r>
    </w:p>
    <w:p w14:paraId="395CF58A" w14:textId="1E81EDEC" w:rsidR="0081087E" w:rsidRPr="0081087E" w:rsidRDefault="0081087E" w:rsidP="0081087E">
      <w:pPr>
        <w:spacing w:before="100" w:beforeAutospacing="1" w:after="100" w:afterAutospacing="1" w:line="276" w:lineRule="auto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Ust. </w:t>
      </w:r>
      <w:r w:rsidR="00C63D17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9</w:t>
      </w: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w brzmieniu jak powyżej – w przypadku Najemców nie prowadzących działalności gospodarczej. W przypadku umów zawieranych z osobami prowadzącymi działalność gospodarczą – poniżej klauzule o naliczaniu odsetek ustawowych za opóźnienie w transakcjach handlowych oraz rekompensaty za koszty (ust. </w:t>
      </w:r>
      <w:r w:rsidR="00C63D17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9</w:t>
      </w: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i </w:t>
      </w:r>
      <w:r w:rsidR="00C63D17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10</w:t>
      </w: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): </w:t>
      </w:r>
    </w:p>
    <w:p w14:paraId="3E4474E4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9.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W przypadku opóźnienia w zapłacie ww. należności Wynajmujący ma prawo naliczyć odsetki ustawowe za opóźnienie w transakcjach handlowych. </w:t>
      </w:r>
    </w:p>
    <w:p w14:paraId="63452CC9" w14:textId="0E488DD6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10. W przypadku nieuiszczenia przez Najemcę czynszu najmu w terminie, o którym mowa w ust. 3, Wynajmującemu przysługuje na podstawie art. 10 ustawy z dnia 8 marca 2013 r. o przeciwdziałaniu nadmiernym opóźnieniom w transakcjach handlowych (</w:t>
      </w:r>
      <w:r w:rsidR="00C40CC9" w:rsidRPr="00C40CC9">
        <w:rPr>
          <w:rFonts w:ascii="Tahoma" w:eastAsia="Times New Roman" w:hAnsi="Tahoma" w:cs="Tahoma"/>
          <w:sz w:val="20"/>
          <w:szCs w:val="20"/>
          <w:lang w:eastAsia="pl-PL"/>
        </w:rPr>
        <w:t>Dz.U. z 2022 r. poz. 893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) rekompensata za koszty odzyskiwania należności stanowiąca równowartość kwoty: </w:t>
      </w:r>
    </w:p>
    <w:p w14:paraId="6FD412AD" w14:textId="77777777" w:rsidR="0081087E" w:rsidRPr="0081087E" w:rsidRDefault="0081087E" w:rsidP="0081087E">
      <w:pPr>
        <w:spacing w:after="0" w:line="276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1) 40 euro - gdy wartość świadczenia pieniężnego nie przekracza 5000 złotych, </w:t>
      </w:r>
    </w:p>
    <w:p w14:paraId="35DD7A1F" w14:textId="77777777" w:rsidR="0081087E" w:rsidRPr="0081087E" w:rsidRDefault="0081087E" w:rsidP="0081087E">
      <w:pPr>
        <w:spacing w:after="0" w:line="276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2) 70 euro - gdy wartość świadczenia pieniężnego jest wyższa niż 5000 złotych, </w:t>
      </w:r>
    </w:p>
    <w:p w14:paraId="0CA2DA18" w14:textId="77777777" w:rsidR="0081087E" w:rsidRPr="0081087E" w:rsidRDefault="0081087E" w:rsidP="0081087E">
      <w:pPr>
        <w:spacing w:after="0" w:line="276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3) 100 euro - gdy wartość świadczenia pieniężnego jest równa lub wyższa od 50 000 złotych.</w:t>
      </w:r>
    </w:p>
    <w:p w14:paraId="0F9436C2" w14:textId="77777777" w:rsidR="0081087E" w:rsidRDefault="0081087E" w:rsidP="0081087E">
      <w:pPr>
        <w:tabs>
          <w:tab w:val="num" w:pos="0"/>
        </w:tabs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C4F678" w14:textId="4197CB38" w:rsidR="004D5F3F" w:rsidRPr="004D5F3F" w:rsidRDefault="004D5F3F" w:rsidP="0081087E">
      <w:pPr>
        <w:tabs>
          <w:tab w:val="num" w:pos="0"/>
        </w:tabs>
        <w:spacing w:after="200" w:line="276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3</w:t>
      </w:r>
    </w:p>
    <w:p w14:paraId="7B302485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Prawa i obowiązki stron </w:t>
      </w:r>
    </w:p>
    <w:p w14:paraId="00F5F4BC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6BA91DB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oświadcza, że przedmiot najmu jest w stanie przydatnym do umówionego użytku. </w:t>
      </w:r>
    </w:p>
    <w:p w14:paraId="6E7A7C49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zobowiązany jest do: </w:t>
      </w:r>
    </w:p>
    <w:p w14:paraId="6BFF0051" w14:textId="55D8EF55" w:rsidR="004D5F3F" w:rsidRPr="004D5F3F" w:rsidRDefault="004D5F3F" w:rsidP="0081087E">
      <w:pPr>
        <w:numPr>
          <w:ilvl w:val="1"/>
          <w:numId w:val="5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udostępniania przedmiotu najmu w stanie przydatnym do użytku i utrzymywania go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w takim stanie przez cały okres obowiązywania umowy, poprzez zapewnienie m.in. sprawnego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działania istniejących instalacji w budynku, umożliwiających Najemcy korzystanie z oświetlenia i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ogrzewania, </w:t>
      </w:r>
    </w:p>
    <w:p w14:paraId="30BC10BF" w14:textId="77777777" w:rsidR="004D5F3F" w:rsidRPr="004D5F3F" w:rsidRDefault="004D5F3F" w:rsidP="0081087E">
      <w:pPr>
        <w:numPr>
          <w:ilvl w:val="1"/>
          <w:numId w:val="5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zapewnienia dla Najemcy oraz osób trzecich używających przedmiotu najmu w związku z jego działalnością – dostępu do pomieszczeń sanitarnych oraz korzystania z wody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i sanitariatów.</w:t>
      </w:r>
    </w:p>
    <w:p w14:paraId="39DB49D3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Wynajmujący nie ponosi odpowiedzialności za wyłączenia i przerwy w dostawach energii, ogrzewania, łączności i innych mediów spowodowane przyczynami niezależnymi </w:t>
      </w:r>
      <w:r w:rsidRPr="004D5F3F">
        <w:rPr>
          <w:rFonts w:ascii="Tahoma" w:eastAsia="Calibri" w:hAnsi="Tahoma" w:cs="Tahoma"/>
          <w:sz w:val="20"/>
          <w:szCs w:val="20"/>
        </w:rPr>
        <w:br/>
        <w:t>od Wynajmującego, działaniem siły wyższej.</w:t>
      </w:r>
    </w:p>
    <w:p w14:paraId="2CAC06B6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zobowiązany jest do: </w:t>
      </w:r>
    </w:p>
    <w:p w14:paraId="5E8A2C89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używania przedmiotu najmu w sposób zgodny z celem określonym w niniejszej umowie, </w:t>
      </w:r>
    </w:p>
    <w:p w14:paraId="75DB7B5A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utrzymania w należytym porządku i czystości używanych pomieszczeń i urządzeń będących na wyposażeniu przedmiotu najmu, </w:t>
      </w:r>
    </w:p>
    <w:p w14:paraId="00182801" w14:textId="5B99217A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przestrzegania przepisów dotyczących bhp i p.poż.,</w:t>
      </w:r>
      <w:r w:rsidRPr="004D5F3F">
        <w:rPr>
          <w:rFonts w:ascii="Tahoma" w:eastAsia="Calibri" w:hAnsi="Tahoma" w:cs="Tahoma"/>
          <w:sz w:val="20"/>
          <w:szCs w:val="20"/>
        </w:rPr>
        <w:t xml:space="preserve"> porządkowych i innych związanych </w:t>
      </w:r>
      <w:r w:rsidRPr="004D5F3F">
        <w:rPr>
          <w:rFonts w:ascii="Tahoma" w:eastAsia="Calibri" w:hAnsi="Tahoma" w:cs="Tahoma"/>
          <w:sz w:val="20"/>
          <w:szCs w:val="20"/>
        </w:rPr>
        <w:br/>
        <w:t>z korzystaniem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Calibri" w:hAnsi="Tahoma" w:cs="Tahoma"/>
          <w:sz w:val="20"/>
          <w:szCs w:val="20"/>
        </w:rPr>
        <w:t xml:space="preserve">z </w:t>
      </w:r>
      <w:r w:rsidR="009E4855">
        <w:rPr>
          <w:rFonts w:ascii="Tahoma" w:eastAsia="Calibri" w:hAnsi="Tahoma" w:cs="Tahoma"/>
          <w:sz w:val="20"/>
          <w:szCs w:val="20"/>
        </w:rPr>
        <w:t>przedmiotu najmu</w:t>
      </w:r>
      <w:r w:rsidRPr="004D5F3F">
        <w:rPr>
          <w:rFonts w:ascii="Tahoma" w:eastAsia="Calibri" w:hAnsi="Tahoma" w:cs="Tahoma"/>
          <w:sz w:val="20"/>
          <w:szCs w:val="20"/>
        </w:rPr>
        <w:t xml:space="preserve"> i prowadzoną </w:t>
      </w:r>
      <w:r w:rsidR="009674DC">
        <w:rPr>
          <w:rFonts w:ascii="Tahoma" w:eastAsia="Calibri" w:hAnsi="Tahoma" w:cs="Tahoma"/>
          <w:sz w:val="20"/>
          <w:szCs w:val="20"/>
        </w:rPr>
        <w:t xml:space="preserve">w nim </w:t>
      </w:r>
      <w:r w:rsidRPr="004D5F3F">
        <w:rPr>
          <w:rFonts w:ascii="Tahoma" w:eastAsia="Calibri" w:hAnsi="Tahoma" w:cs="Tahoma"/>
          <w:sz w:val="20"/>
          <w:szCs w:val="20"/>
        </w:rPr>
        <w:t>działalnością</w:t>
      </w:r>
      <w:r w:rsidR="00407A41">
        <w:rPr>
          <w:rFonts w:ascii="Tahoma" w:eastAsia="Calibri" w:hAnsi="Tahoma" w:cs="Tahoma"/>
          <w:sz w:val="20"/>
          <w:szCs w:val="20"/>
        </w:rPr>
        <w:t xml:space="preserve"> Najemcy</w:t>
      </w:r>
      <w:r w:rsidRPr="004D5F3F">
        <w:rPr>
          <w:rFonts w:ascii="Tahoma" w:eastAsia="Calibri" w:hAnsi="Tahoma" w:cs="Tahoma"/>
          <w:sz w:val="20"/>
          <w:szCs w:val="20"/>
        </w:rPr>
        <w:t>,</w:t>
      </w:r>
    </w:p>
    <w:p w14:paraId="39C36F07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niezwłocznego informowania Wynajmującego o naprawach obciążających Wynajmującego,</w:t>
      </w:r>
    </w:p>
    <w:p w14:paraId="19873005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przestrzegania regulaminów korzystania z obiektu obowiązujących u Wynajmującego oraz zaznajomienia z nim osób trzecich używających przedmiotu najmu w związku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działalnością  Najemcy. </w:t>
      </w:r>
    </w:p>
    <w:p w14:paraId="7249F413" w14:textId="23DCE2B8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Najemca nie może oddawać przedmiotu najmu osobie trzeciej do bezpłatnego używania albo w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podnajem</w:t>
      </w:r>
      <w:r w:rsidRPr="004D5F3F">
        <w:rPr>
          <w:rFonts w:ascii="Tahoma" w:eastAsia="Times New Roman" w:hAnsi="Tahoma" w:cs="Tahoma"/>
          <w:i/>
          <w:sz w:val="20"/>
          <w:szCs w:val="20"/>
          <w:lang w:eastAsia="pl-PL"/>
        </w:rPr>
        <w:t>.</w:t>
      </w:r>
    </w:p>
    <w:p w14:paraId="1A2568F4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przypadku, gdy przed wpuszczeniem do sali osób trzecich, na rzecz których prowadzona jest działalność określona w § 1 ust. 3, Najemca stwierdzi, że stan sali nie odpowiada stanowi technicznemu i wyposażenia opisanemu w Załączniku nr 1, zobowiązany jest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on do niezwłocznego powiadomienia o tym fakcie Wynajmującego ze wskazaniem różnic w stanie przedmiotu najmu. Brak informacji o różnicach skutkuje przyjęciem, że sala i jej wyposażenie odpowiada stanowi opisanemu w Załączniku nr 1.</w:t>
      </w:r>
    </w:p>
    <w:p w14:paraId="2838096C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>Dla zabezpieczenia czynszu oraz świadczeń dodatkowych, z którymi Najemca zalega nie dłużej niż rok, przysługuje Wynajmującemu ustawowe prawo zastawu na rzeczach ruchomych Najemcy wniesionych do przedmiotu najmu.</w:t>
      </w:r>
    </w:p>
    <w:p w14:paraId="08CE313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vertAlign w:val="subscript"/>
          <w:lang w:eastAsia="pl-PL"/>
        </w:rPr>
      </w:pPr>
    </w:p>
    <w:p w14:paraId="6943525D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4</w:t>
      </w:r>
    </w:p>
    <w:p w14:paraId="56BBA0E3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Odpowiedzialność za pozostawione mienie</w:t>
      </w:r>
    </w:p>
    <w:p w14:paraId="7717FBE7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5910E6F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8E3959D" w14:textId="77777777" w:rsidR="0081087E" w:rsidRPr="0081087E" w:rsidRDefault="0081087E" w:rsidP="0081087E">
      <w:pPr>
        <w:numPr>
          <w:ilvl w:val="0"/>
          <w:numId w:val="19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Wynajmujący nie ponosi żadnej odpowiedzialności za pozostawione mienie Najemcy lub osób trzecich używających przedmiotu najmu w związku z jego działalnością, ani za nieszczęśliwe zdarzenia, szkody osobowe czy materialne dotyczące ww. osób, które wystąpiły w trakcie korzystania przez nie z przedmiotu najmu.</w:t>
      </w:r>
    </w:p>
    <w:p w14:paraId="1DEF60FC" w14:textId="77777777" w:rsidR="0081087E" w:rsidRPr="0081087E" w:rsidRDefault="0081087E" w:rsidP="0081087E">
      <w:pPr>
        <w:numPr>
          <w:ilvl w:val="0"/>
          <w:numId w:val="19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(Podać cel wynajmu, np. zajęcia …)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prowadzona przez Najemcę nie są związane z zajęciami Wynajmującego.</w:t>
      </w:r>
    </w:p>
    <w:p w14:paraId="036858D3" w14:textId="77777777" w:rsidR="0081087E" w:rsidRPr="0081087E" w:rsidRDefault="0081087E" w:rsidP="0081087E">
      <w:pPr>
        <w:numPr>
          <w:ilvl w:val="0"/>
          <w:numId w:val="19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Do zapewnienia bezpieczeństwa uczestnikom </w:t>
      </w:r>
      <w:r w:rsidRPr="0081087E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(Podać cel wynajmu, np. zajęć …)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organizowanych w lokalu Wynajmującego zobowiązany jest Najemca.</w:t>
      </w:r>
    </w:p>
    <w:p w14:paraId="4B711639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C6E5881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5 </w:t>
      </w:r>
    </w:p>
    <w:p w14:paraId="404637DC" w14:textId="77777777" w:rsidR="004D5F3F" w:rsidRPr="004D5F3F" w:rsidRDefault="004D5F3F" w:rsidP="0081087E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t>Czas obowiązywania umowy</w:t>
      </w:r>
    </w:p>
    <w:p w14:paraId="60D9DB72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79CA3AA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Umowa zostaje zawarta </w:t>
      </w: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 czas określony, w dniach od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2022 r.</w:t>
      </w:r>
    </w:p>
    <w:p w14:paraId="20C48D2B" w14:textId="5FBD3C96" w:rsidR="004D5F3F" w:rsidRPr="004D5F3F" w:rsidRDefault="004D5F3F" w:rsidP="0081087E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14:paraId="2F685B8D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18CFB26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6 </w:t>
      </w:r>
    </w:p>
    <w:p w14:paraId="288BD339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lastRenderedPageBreak/>
        <w:t>Odpowiedzialność z tytułu niewykonania lub nienależytego wykonania Umowy</w:t>
      </w:r>
    </w:p>
    <w:p w14:paraId="1732F332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8A89591" w14:textId="77777777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ponosi pełną odpowiedzialność materialną i prawną za zniszczenia lub uszkodzenia przedmiotu najmu wyrządzone przez Najemcę, osoby działające w jego imieniu lub osoby trzecie używające przedmiotu najmu w związku z działalnością Najemcy. </w:t>
      </w:r>
    </w:p>
    <w:p w14:paraId="167E8B55" w14:textId="50CCC8C4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Najemca ponosi odpowiedzialność materialną za wyposażenie sali, o której mowa w § 1 ust. 1 i 5 w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trakcie prowadzenia przez niego zajęć. </w:t>
      </w:r>
    </w:p>
    <w:p w14:paraId="0FB40370" w14:textId="2E824AE0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powstania w przedmiocie najmu zniszczeń lub uszkodzeń, przekraczających normalne zużycie </w:t>
      </w:r>
      <w:r w:rsidR="0081087E">
        <w:rPr>
          <w:rFonts w:ascii="Tahoma" w:eastAsia="Times New Roman" w:hAnsi="Tahoma" w:cs="Tahoma"/>
          <w:sz w:val="20"/>
          <w:szCs w:val="20"/>
          <w:lang w:eastAsia="pl-PL"/>
        </w:rPr>
        <w:t>przedmiotu najmu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Najemca zobowiązany będzie do zapłaty Wynajmującemu kosztów ich usunięcia bądź przywrócenia lokalu do właściwego stanu. Wybór sposobu zaspokojenia roszczeń należy do Dyrektora jednostki oświatowej.</w:t>
      </w:r>
    </w:p>
    <w:p w14:paraId="07F4A513" w14:textId="77777777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W przypadku niezapłacenia w terminie określonym w § 2 ust. 3 należności wynikającej z faktury, Wynajmujący ma prawo nie dopuścić do korzystania przez Najemcę z przedmiotu najmu do czasu uregulowania należności. W takim przypadku Najemca zobowiązany jest do zapłaty całego należnego czynszu w wysokości określonej na podstawie § 2 ust. 2.</w:t>
      </w:r>
    </w:p>
    <w:p w14:paraId="4F6D8505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794F6B8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6" w:name="_Hlk91069732"/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7</w:t>
      </w:r>
    </w:p>
    <w:p w14:paraId="68C9CBE1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Stan epidemii</w:t>
      </w:r>
    </w:p>
    <w:p w14:paraId="209F6B2E" w14:textId="77777777" w:rsidR="004D5F3F" w:rsidRPr="004D5F3F" w:rsidRDefault="004D5F3F" w:rsidP="0081087E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14:paraId="187DE5CC" w14:textId="77777777" w:rsidR="009D4453" w:rsidRPr="009D4453" w:rsidRDefault="009D4453" w:rsidP="009D4453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4453">
        <w:rPr>
          <w:rFonts w:ascii="Tahoma" w:eastAsia="Times New Roman" w:hAnsi="Tahoma" w:cs="Tahoma"/>
          <w:sz w:val="20"/>
          <w:szCs w:val="20"/>
          <w:lang w:eastAsia="pl-PL"/>
        </w:rPr>
        <w:t>W przypadku obowiązywania stanu epidemii lub epidemicznego na obszarze Rzeczypospolitej Polskiej i wprowadzonymi ograniczeniami, a także wytycznymi MEN, MZ i GIS dla publicznych i niepublicznych szkół i placówek, strony Umowy postanawiają co następuje:</w:t>
      </w:r>
    </w:p>
    <w:p w14:paraId="30E586EC" w14:textId="61E97A24" w:rsidR="009D4453" w:rsidRPr="009D4453" w:rsidRDefault="009D4453" w:rsidP="00C22348">
      <w:pPr>
        <w:spacing w:after="0" w:line="276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Pr="009D4453">
        <w:rPr>
          <w:rFonts w:ascii="Tahoma" w:eastAsia="Times New Roman" w:hAnsi="Tahoma" w:cs="Tahoma"/>
          <w:sz w:val="20"/>
          <w:szCs w:val="20"/>
          <w:lang w:eastAsia="pl-PL"/>
        </w:rPr>
        <w:t>Najemca zobowiązany jest do zastosowania się do wprowadzonych ograniczeń i przestrzegania aktualnych wytycznych MEN, MZ i GIS dla szkół i placówek,</w:t>
      </w:r>
    </w:p>
    <w:p w14:paraId="7075CDF8" w14:textId="77777777" w:rsidR="009D4453" w:rsidRPr="009D4453" w:rsidRDefault="009D4453" w:rsidP="009D4453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4453">
        <w:rPr>
          <w:rFonts w:ascii="Tahoma" w:eastAsia="Times New Roman" w:hAnsi="Tahoma" w:cs="Tahoma"/>
          <w:sz w:val="20"/>
          <w:szCs w:val="20"/>
          <w:lang w:eastAsia="pl-PL"/>
        </w:rPr>
        <w:t>Zapisy Umowy zawarte w ust. 1 obowiązują do dnia odwołania stanu epidemii lub epidemicznego oraz zmiany wytycznych MEN, MZ i GIS w zakresie obowiązków nałożonych na Najemcę.</w:t>
      </w:r>
    </w:p>
    <w:p w14:paraId="2585A017" w14:textId="6F8F860F" w:rsidR="0081087E" w:rsidRPr="0081087E" w:rsidRDefault="0081087E" w:rsidP="0081087E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oświadczają, że w przypadku niemożliwości przeprowadzenia zajęć w obiekcie Wynajmującego z obiektywnych przyczyn niezależnych od Wynajmującego, w szczególności z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przyczyn związanych ze zmianą przepisów prawa lub działań władz mających na celu przeciwdziałanie COVID-19 lub innych chorób zakaźnych, czynszu najmu za taki okres nie nalicza się, a Najemcy nie przysługuje żadne odszkodowanie z tego tytułu.</w:t>
      </w:r>
    </w:p>
    <w:p w14:paraId="72A100DF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AB654C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8</w:t>
      </w:r>
    </w:p>
    <w:p w14:paraId="3B59D8DF" w14:textId="77777777" w:rsidR="004D5F3F" w:rsidRPr="004D5F3F" w:rsidRDefault="004D5F3F" w:rsidP="0081087E">
      <w:pPr>
        <w:spacing w:after="0" w:line="276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Warunki wypowiedzenia i rozwiązania Umowy</w:t>
      </w:r>
    </w:p>
    <w:p w14:paraId="00E1A8B3" w14:textId="77777777" w:rsidR="004D5F3F" w:rsidRPr="004D5F3F" w:rsidRDefault="004D5F3F" w:rsidP="0081087E">
      <w:pPr>
        <w:spacing w:after="0" w:line="276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C118BA7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Umowa może zostać w każdym czasie rozwiązana na podstawie porozumienia stron.</w:t>
      </w:r>
    </w:p>
    <w:p w14:paraId="78278173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Każda ze stron może wypowiedzieć Umowę z ważnej przyczyny z zachowaniem trzymiesięcznego terminu wypowiedzenia.</w:t>
      </w:r>
    </w:p>
    <w:p w14:paraId="1E9E00DB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Wynajmujący może wypowiedzieć Umowę z zachowaniem trzymiesięcznego terminu wypowiedzenia w sytuacji, gdy okaże się, że zajmowana przez najemcę powierzchnia niezbędna jest do realizacji celów statutowych jednostki, których nie mógł przewidzieć w dacie zawarcia Umowy.</w:t>
      </w:r>
    </w:p>
    <w:p w14:paraId="2E939093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może wypowiedzieć Umowę ze skutkiem natychmiastowym, gdy Najemca:  </w:t>
      </w:r>
    </w:p>
    <w:p w14:paraId="6E1E2806" w14:textId="77777777" w:rsidR="004D5F3F" w:rsidRPr="004D5F3F" w:rsidRDefault="004D5F3F" w:rsidP="0081087E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korzysta z przedmiotu najmu w sposób sprzeczny z Umową lub przeznaczeniem i mimo upomnienia nie przestaje z niego korzystać w taki sposób,</w:t>
      </w:r>
    </w:p>
    <w:p w14:paraId="15F2591B" w14:textId="77777777" w:rsidR="004D5F3F" w:rsidRPr="004D5F3F" w:rsidRDefault="004D5F3F" w:rsidP="0081087E">
      <w:pPr>
        <w:numPr>
          <w:ilvl w:val="0"/>
          <w:numId w:val="12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zaniedbuje przedmiot najmu do tego stopnia, że zostaje on narażony na uszkodzenie,</w:t>
      </w:r>
    </w:p>
    <w:p w14:paraId="0D511C15" w14:textId="77777777" w:rsidR="004D5F3F" w:rsidRPr="004D5F3F" w:rsidRDefault="004D5F3F" w:rsidP="0081087E">
      <w:pPr>
        <w:numPr>
          <w:ilvl w:val="0"/>
          <w:numId w:val="12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dopuszcza się zwłoki z zapłatą czynszu co najmniej za dwa pełne okresy płatności -  jednak po wcześniejszym uprzedzeniu przez Wynajmującego na piśmie o swoim zamiarze i udzieleniu dodatkowego miesięcznego terminu do zapłaty zaległego czynszu,  </w:t>
      </w:r>
    </w:p>
    <w:p w14:paraId="7BAEF8BD" w14:textId="7016E867" w:rsidR="004D5F3F" w:rsidRPr="004D5F3F" w:rsidRDefault="004D5F3F" w:rsidP="0081087E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odda pomieszczenia będące przedmiotem najmu osobie trzeciej do bezpłatnego używania albo w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podnajem,</w:t>
      </w:r>
    </w:p>
    <w:p w14:paraId="028963D3" w14:textId="77777777" w:rsidR="004D5F3F" w:rsidRPr="004D5F3F" w:rsidRDefault="004D5F3F" w:rsidP="0081087E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lastRenderedPageBreak/>
        <w:t xml:space="preserve">nie przestrzega obowiązków nałożonych na mocy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§ 7 ust. 1.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6BC73E30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 zakończeniu Umowy Najemca zobowiązany jest zwrócić przedmiot najmu w stanie niepogorszonym, uwzględniając stan z daty przekazania pomieszczeń przez Wynajmującego, określony w Załączniku nr 1.</w:t>
      </w:r>
    </w:p>
    <w:p w14:paraId="55A99B8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6C107D3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9</w:t>
      </w:r>
    </w:p>
    <w:p w14:paraId="16560BD0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Zmiana Umowy</w:t>
      </w:r>
    </w:p>
    <w:p w14:paraId="7E0FDC16" w14:textId="77777777" w:rsidR="004D5F3F" w:rsidRPr="004D5F3F" w:rsidRDefault="004D5F3F" w:rsidP="0081087E">
      <w:pPr>
        <w:tabs>
          <w:tab w:val="left" w:pos="284"/>
          <w:tab w:val="left" w:pos="851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7B3AAB" w14:textId="77777777" w:rsidR="004D5F3F" w:rsidRPr="004D5F3F" w:rsidRDefault="004D5F3F" w:rsidP="0081087E">
      <w:pPr>
        <w:tabs>
          <w:tab w:val="left" w:pos="284"/>
          <w:tab w:val="left" w:pos="851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Strony ustalają, że w przypadku podjęcia przez Radę Miasta Szczecin uchwały dotyczącej zmiany zasad gospodarowania nieruchomościami gminnymi, Umowa niniejsza ulegnie zmianie w zakresie niezbędnym do dostosowania umowy do zasad wynikających z przedmiotowej uchwały od dnia jej obowiązywania.</w:t>
      </w:r>
    </w:p>
    <w:p w14:paraId="2F868392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bookmarkEnd w:id="6"/>
    <w:p w14:paraId="27191DE8" w14:textId="77777777" w:rsidR="0081087E" w:rsidRPr="0081087E" w:rsidRDefault="0081087E" w:rsidP="0081087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99D15BE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10</w:t>
      </w:r>
    </w:p>
    <w:p w14:paraId="6A57BFEF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Informacja Publiczna</w:t>
      </w:r>
    </w:p>
    <w:p w14:paraId="05F94E6A" w14:textId="6F6C982B" w:rsidR="0081087E" w:rsidRPr="00941466" w:rsidRDefault="0081087E" w:rsidP="0081087E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41466">
        <w:rPr>
          <w:rFonts w:ascii="Tahoma" w:eastAsia="Times New Roman" w:hAnsi="Tahoma" w:cs="Tahoma"/>
          <w:sz w:val="20"/>
          <w:szCs w:val="20"/>
          <w:lang w:eastAsia="pl-PL"/>
        </w:rPr>
        <w:t xml:space="preserve">,,Niniejsza Umowa oraz dane strony, z którą Gmina Miasto Szczecin zawarła umowę, stanowią informację publiczną w rozumieniu art. 1 ustawy z dnia 6 września 2001 r. o dostępie do informacji publicznej </w:t>
      </w:r>
      <w:r w:rsidR="00FE00D5">
        <w:rPr>
          <w:rFonts w:ascii="Tahoma" w:eastAsia="Times New Roman" w:hAnsi="Tahoma" w:cs="Tahoma"/>
          <w:sz w:val="20"/>
          <w:szCs w:val="20"/>
          <w:lang w:eastAsia="pl-PL"/>
        </w:rPr>
        <w:t>(Dz.U. z 2022 r. poz. 902 z późn.zm.)</w:t>
      </w:r>
      <w:r w:rsidRPr="00941466">
        <w:rPr>
          <w:rFonts w:ascii="Tahoma" w:eastAsia="Times New Roman" w:hAnsi="Tahoma" w:cs="Tahoma"/>
          <w:sz w:val="20"/>
          <w:szCs w:val="20"/>
          <w:lang w:eastAsia="pl-PL"/>
        </w:rPr>
        <w:t xml:space="preserve"> i podlegają udostępnieniu na zasadach i w trybie określonych w ww. ustawie.”</w:t>
      </w:r>
    </w:p>
    <w:p w14:paraId="4841FD7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11</w:t>
      </w:r>
    </w:p>
    <w:p w14:paraId="26A4B616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RODO</w:t>
      </w:r>
    </w:p>
    <w:p w14:paraId="17EA4243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0FCB6C5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1. Wynajmujący, realizując nałożony na administratora obowiązek informacyjny wobec osób fizycznych – zgodnie z art. 13 i 14 RODO – informuje, że: </w:t>
      </w:r>
    </w:p>
    <w:p w14:paraId="49FC6068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1) administratorem danych osobowych jest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 Szczecinie,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720B6280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2) kontakt do inspektora ochrony danych osobowych – adres e-mail: iod@spnt.pl, telefon 918522093. Powyższe dane kontaktowe służą wyłącznie do kontaktu w sprawach związanych bezpośrednio z przetwarzaniem danych osobowych. Inspektor ochrony danych nie posiada i nie udziela informacji dotyczących realizacji Umowy; </w:t>
      </w:r>
    </w:p>
    <w:p w14:paraId="39CEB7D8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3) dane osobowe przetwarzane będą na podstawie art. 6 ust. 1 lit. b i f RODO, w celu: </w:t>
      </w:r>
    </w:p>
    <w:p w14:paraId="4A6FB04F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a) zawarcia i wykonania Umowy, </w:t>
      </w:r>
    </w:p>
    <w:p w14:paraId="39CBB48B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b) wypełnienia obowiązków prawnych ciążących na Wynajmujący, </w:t>
      </w:r>
    </w:p>
    <w:p w14:paraId="56DA1D46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c) kontroli prawidłowości realizacji postanowień Umowy, </w:t>
      </w:r>
    </w:p>
    <w:p w14:paraId="08A1EC09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d) ochrony praw Wynajmującego wynikających z Umowy, a także w celu dochodzenia ewentualnych uprawnień i roszczeń wynikających z Umowy, </w:t>
      </w:r>
    </w:p>
    <w:p w14:paraId="46E8D46F" w14:textId="41699E8E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e) przechowywania dokumentacji na wypadek kontroli prowadzonej przez uprawnione organy i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podmioty, </w:t>
      </w:r>
    </w:p>
    <w:p w14:paraId="6D2A84E2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f) przekazania dokumentacji do archiwum, a następnie jej zbrakowania; </w:t>
      </w:r>
    </w:p>
    <w:p w14:paraId="1338B4C9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4) odbiorcami danych osobowych będą: </w:t>
      </w:r>
    </w:p>
    <w:p w14:paraId="017C3F0B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a) pracownicy Wynajmującego, </w:t>
      </w:r>
    </w:p>
    <w:p w14:paraId="168B2911" w14:textId="49217040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b) osoby lub podmioty, którym udostępniona zostanie Umowa lub dokumentacja związania z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realizacją Umowy w oparciu o powszechnie obowiązujące przepisy, w tym w szczególności w oparciu o art. 2 i nast. ustawy z dnia 6 września 2001 r. o dostępie do informacji publicznej </w:t>
      </w:r>
      <w:r w:rsidR="00FE00D5">
        <w:rPr>
          <w:rFonts w:ascii="Tahoma" w:eastAsia="Times New Roman" w:hAnsi="Tahoma" w:cs="Tahoma"/>
          <w:sz w:val="20"/>
          <w:szCs w:val="20"/>
          <w:lang w:eastAsia="pl-PL"/>
        </w:rPr>
        <w:t>(Dz.U. z 2022 r. poz. 902 z późn.zm.)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14:paraId="73B3411F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c) podmioty przetwarzające dane osobowe w imieniu Wynajmującego, w szczególności podmioty świadczące usługi audytowe, usługi doradcze, </w:t>
      </w:r>
    </w:p>
    <w:p w14:paraId="3ED646B3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d) inni administratorzy danych, działający na mocy umów zawartych z Wynajmującym lub na podstawie powszechnie obowiązujących przepisów prawa, w tym: </w:t>
      </w:r>
    </w:p>
    <w:p w14:paraId="3D6309A2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- podmioty świadczące pomoc prawną, </w:t>
      </w:r>
    </w:p>
    <w:p w14:paraId="1B756611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- podmioty świadczące usługi pocztowe lub kurierskie, </w:t>
      </w:r>
    </w:p>
    <w:p w14:paraId="01D96855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- podmioty prowadzące działalność płatniczą (banki, instytucje płatnicze), </w:t>
      </w:r>
    </w:p>
    <w:p w14:paraId="0C84234E" w14:textId="29730501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5) dane osobowe będą przetwarzane przez okres realizacji niniejszej Umowy, okres rękojmi i</w:t>
      </w:r>
      <w:r w:rsidR="009D445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gwarancji, przez okres niezbędny do dochodzenia roszczeń i obrony swoich praw z tytułu realizacji Umowy oraz przez okres archiwizacji zgodny z rozporządzeniem Prezesa Rady Ministrów z dnia 18 stycznia 2011 r. w sprawie instrukcji kancelaryjnej, jednolitych rzeczowych wykazów akt oraz instrukcji w sprawie organizacji i zakresu działania archiwów zakładowych (Dz. U. z 2011 r. Nr 14, poz. 67), </w:t>
      </w:r>
    </w:p>
    <w:p w14:paraId="444B1113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6) osobie fizycznej, której dane dotyczą, przysługuje prawo do żądania od administratora dostępu do danych osobowych, do ich sprostowania lub ograniczenia przetwarzania na zasadach określonych w RODO oraz w innych obowiązujących w tym zakresie przepisów prawa, </w:t>
      </w:r>
    </w:p>
    <w:p w14:paraId="0EDAD70B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7) osobie fizycznej, której dane dotyczą przysługuje prawo do wniesienia skargi do organu nadzorczego – Prezesa Urzędu Ochrony Danych Osobowych, gdy uzasadnione jest, iż dane osobowe przetwarzane są przez administratora niezgodnie z przepisami RODO, </w:t>
      </w:r>
    </w:p>
    <w:p w14:paraId="7C7880AF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8) obowiązek podania przez Najemcę danych osobowych Wynajmującemu jest warunkiem zawarcia Umowy, a także jest niezbędny do realizacji i kontroli należytego wykonania Umowy, konsekwencją niepodania danych będzie niemożność zawarcia i realizacji Umowy, </w:t>
      </w:r>
    </w:p>
    <w:p w14:paraId="35EDA28D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9) w odniesieniu do danych osobowych decyzje nie będą podejmowane w sposób zautomatyzowany, stosowanie do art. 22 RODO, </w:t>
      </w:r>
    </w:p>
    <w:p w14:paraId="7881C121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10) dane niepozyskane bezpośrednio od osób, których dotyczą, obejmują w szczególności następujące kategorie danych: imię i nazwisko, dane kontaktowe, stosowne uprawnienia do wykonywania określonych czynności, </w:t>
      </w:r>
    </w:p>
    <w:p w14:paraId="24DAFAE3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11) źródłem pochodzenia danych osobowych niepozyskanych bezpośrednio od osoby, której dane dotyczą, jest Najemca. </w:t>
      </w:r>
    </w:p>
    <w:p w14:paraId="7FD79F84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2. Najemca zobowiązuje się przekazać, w imieniu Wynajmującego informacje wskazane w ust. 1, wszystkim osobom trzecim , których dane osobowe Najemca będzie przekazywać Wynajmującemu w związku z wykonywaniem niniejszej Umowy. Powyższy obowiązek dotyczy jedynie osób, z którymi Najemca nie będzie miał kontaktu lub kontakt ten będzie utrudniony. </w:t>
      </w:r>
    </w:p>
    <w:p w14:paraId="0E0F8EFB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5ECE8C3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CAA2F7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12</w:t>
      </w:r>
    </w:p>
    <w:p w14:paraId="57EB018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Postanowienia końcowe</w:t>
      </w:r>
    </w:p>
    <w:p w14:paraId="6DA58AA7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02C50BE1" w14:textId="77777777" w:rsidR="0081087E" w:rsidRPr="0081087E" w:rsidRDefault="0081087E" w:rsidP="0081087E">
      <w:pPr>
        <w:numPr>
          <w:ilvl w:val="3"/>
          <w:numId w:val="12"/>
        </w:numPr>
        <w:spacing w:after="0" w:line="276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wskazują następujące osoby do kontaktów w ramach realizacji Umowy:</w:t>
      </w:r>
    </w:p>
    <w:p w14:paraId="5C6556BB" w14:textId="77777777" w:rsidR="0081087E" w:rsidRPr="0081087E" w:rsidRDefault="0081087E" w:rsidP="0081087E">
      <w:pPr>
        <w:numPr>
          <w:ilvl w:val="1"/>
          <w:numId w:val="22"/>
        </w:numPr>
        <w:tabs>
          <w:tab w:val="num" w:pos="567"/>
          <w:tab w:val="left" w:pos="851"/>
        </w:tabs>
        <w:spacing w:after="0" w:line="276" w:lineRule="auto"/>
        <w:ind w:left="567" w:hanging="283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ze strony Wynajmującego:</w:t>
      </w:r>
    </w:p>
    <w:p w14:paraId="36BD3348" w14:textId="77777777" w:rsidR="0081087E" w:rsidRPr="0081087E" w:rsidRDefault="0081087E" w:rsidP="0081087E">
      <w:pPr>
        <w:tabs>
          <w:tab w:val="num" w:pos="567"/>
          <w:tab w:val="left" w:pos="851"/>
        </w:tabs>
        <w:spacing w:after="0" w:line="276" w:lineRule="auto"/>
        <w:ind w:left="360"/>
        <w:rPr>
          <w:rFonts w:ascii="Tahoma" w:eastAsia="Calibri" w:hAnsi="Tahoma" w:cs="Tahoma"/>
          <w:sz w:val="20"/>
          <w:szCs w:val="20"/>
          <w:lang w:eastAsia="pl-PL"/>
        </w:rPr>
      </w:pP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- w sprawach księgowych: </w:t>
      </w:r>
      <w:bookmarkStart w:id="7" w:name="_Hlk102215091"/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tel.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</w:t>
      </w:r>
      <w:bookmarkEnd w:id="7"/>
    </w:p>
    <w:p w14:paraId="1365187E" w14:textId="77777777" w:rsidR="0081087E" w:rsidRPr="0081087E" w:rsidRDefault="0081087E" w:rsidP="0081087E">
      <w:pPr>
        <w:tabs>
          <w:tab w:val="num" w:pos="567"/>
          <w:tab w:val="left" w:pos="851"/>
        </w:tabs>
        <w:spacing w:after="0" w:line="276" w:lineRule="auto"/>
        <w:ind w:left="360"/>
        <w:rPr>
          <w:rFonts w:ascii="Tahoma" w:eastAsia="Calibri" w:hAnsi="Tahoma" w:cs="Tahoma"/>
          <w:sz w:val="20"/>
          <w:szCs w:val="20"/>
          <w:lang w:eastAsia="pl-PL"/>
        </w:rPr>
      </w:pP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- w sprawach organizacyjnych: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tel.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</w:t>
      </w:r>
    </w:p>
    <w:p w14:paraId="28694A41" w14:textId="77777777" w:rsidR="0081087E" w:rsidRPr="0081087E" w:rsidRDefault="0081087E" w:rsidP="0081087E">
      <w:pPr>
        <w:numPr>
          <w:ilvl w:val="1"/>
          <w:numId w:val="22"/>
        </w:numPr>
        <w:tabs>
          <w:tab w:val="num" w:pos="567"/>
          <w:tab w:val="left" w:pos="851"/>
        </w:tabs>
        <w:spacing w:after="0" w:line="276" w:lineRule="auto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ze strony Najemcy: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tel.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>.</w:t>
      </w:r>
    </w:p>
    <w:p w14:paraId="6A526718" w14:textId="77777777" w:rsidR="0081087E" w:rsidRPr="0081087E" w:rsidRDefault="0081087E" w:rsidP="0081087E">
      <w:pPr>
        <w:numPr>
          <w:ilvl w:val="3"/>
          <w:numId w:val="12"/>
        </w:numPr>
        <w:spacing w:after="0" w:line="276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Zmiana osób wskazanych w ust. 1 powinna być dokonana w formie pisemnej i nie będzie traktowana jak zmiana Umowy.</w:t>
      </w:r>
    </w:p>
    <w:p w14:paraId="7649E87F" w14:textId="77777777" w:rsidR="0081087E" w:rsidRPr="0081087E" w:rsidRDefault="0081087E" w:rsidP="0081087E">
      <w:pPr>
        <w:numPr>
          <w:ilvl w:val="3"/>
          <w:numId w:val="12"/>
        </w:numPr>
        <w:spacing w:after="0" w:line="276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zastrzegają następujące adresy dla doręczeń:</w:t>
      </w:r>
    </w:p>
    <w:p w14:paraId="0C6935BE" w14:textId="77777777" w:rsidR="0081087E" w:rsidRPr="0081087E" w:rsidRDefault="0081087E" w:rsidP="0081087E">
      <w:pPr>
        <w:numPr>
          <w:ilvl w:val="4"/>
          <w:numId w:val="23"/>
        </w:numPr>
        <w:spacing w:after="0" w:line="276" w:lineRule="auto"/>
        <w:ind w:left="567" w:hanging="283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.-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ul.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tel./fax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 w:rsidDel="00AB502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14:paraId="3B3F7930" w14:textId="77777777" w:rsidR="0081087E" w:rsidRPr="0081087E" w:rsidRDefault="0081087E" w:rsidP="0081087E">
      <w:pPr>
        <w:numPr>
          <w:ilvl w:val="4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Najemca: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.-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ul.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tel./fax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 w:rsidDel="00AB502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0D190500" w14:textId="77777777" w:rsidR="0081087E" w:rsidRPr="0081087E" w:rsidRDefault="0081087E" w:rsidP="0081087E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Strony zobowiązują się do wzajemnego powiadamiania na piśmie o każdej zmianie adresu. Powiadamianie jest skuteczne pod warunkiem wysłania go listem poleconym lub dostarczenia pocztą kurierską lub doręczenia osobistego.</w:t>
      </w:r>
    </w:p>
    <w:p w14:paraId="13E18D52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 xml:space="preserve">Wszelkie pisma, wezwania i oświadczenia kierowane na ostatni znany adres Stron ustalony zgodnie z postanowieniami ust. 3–4 będą uważane za skutecznie doręczone. </w:t>
      </w:r>
    </w:p>
    <w:p w14:paraId="4EF73EBB" w14:textId="14073AEA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Wszelkie zmiany Umowy, a także wszelkie </w:t>
      </w:r>
      <w:r w:rsidRPr="0081087E">
        <w:rPr>
          <w:rFonts w:ascii="Tahoma" w:eastAsia="Calibri" w:hAnsi="Tahoma" w:cs="Tahoma"/>
          <w:sz w:val="20"/>
          <w:szCs w:val="20"/>
        </w:rPr>
        <w:t>oświadczenia, wezwania, zezwolenia,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Calibri" w:hAnsi="Tahoma" w:cs="Tahoma"/>
          <w:sz w:val="20"/>
          <w:szCs w:val="20"/>
        </w:rPr>
        <w:t>uzgodnienia i</w:t>
      </w:r>
      <w:r w:rsidR="009D4453">
        <w:rPr>
          <w:rFonts w:ascii="Tahoma" w:eastAsia="Calibri" w:hAnsi="Tahoma" w:cs="Tahoma"/>
          <w:sz w:val="20"/>
          <w:szCs w:val="20"/>
        </w:rPr>
        <w:t> </w:t>
      </w:r>
      <w:r w:rsidRPr="0081087E">
        <w:rPr>
          <w:rFonts w:ascii="Tahoma" w:eastAsia="Calibri" w:hAnsi="Tahoma" w:cs="Tahoma"/>
          <w:sz w:val="20"/>
          <w:szCs w:val="20"/>
        </w:rPr>
        <w:t xml:space="preserve">powiadomienia kierowane do drugiej Strony wymagają formy pisemnej pod rygorem nieważności. </w:t>
      </w:r>
    </w:p>
    <w:p w14:paraId="7E2E71C2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Umowa wchodzi w życie z dniem podpisania. </w:t>
      </w:r>
    </w:p>
    <w:p w14:paraId="56CF19E9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Załączniki do Umowy stanowią jej integralną część.</w:t>
      </w:r>
    </w:p>
    <w:p w14:paraId="6221D1FD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sprawach nieuregulowanych Umową mają zastosowanie odpowiednie przepisy Kodeksu cywilnego.</w:t>
      </w:r>
    </w:p>
    <w:p w14:paraId="4681C8A7" w14:textId="21953649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przypadku, gdyby którejkolwiek z postanowień Umowy zostałoby uznane za nieważne, Umowa w</w:t>
      </w:r>
      <w:r w:rsidR="009D4453">
        <w:rPr>
          <w:rFonts w:ascii="Tahoma" w:eastAsia="Calibri" w:hAnsi="Tahoma" w:cs="Tahoma"/>
          <w:sz w:val="20"/>
          <w:szCs w:val="20"/>
        </w:rPr>
        <w:t> </w:t>
      </w:r>
      <w:r w:rsidRPr="0081087E">
        <w:rPr>
          <w:rFonts w:ascii="Tahoma" w:eastAsia="Calibri" w:hAnsi="Tahoma" w:cs="Tahoma"/>
          <w:sz w:val="20"/>
          <w:szCs w:val="20"/>
        </w:rPr>
        <w:t>pozostałej części zostaje ważna.</w:t>
      </w:r>
    </w:p>
    <w:p w14:paraId="7BFB7E2A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przypadku, o którym mowa w ust. 10 Strony zobowiązują się do zastąpienia nieważnych postanowień Umowy nowymi postanowieniami zbliżonymi celem do postanowień uznanych za nieważne.</w:t>
      </w:r>
    </w:p>
    <w:p w14:paraId="7A2406BE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Ewentualne   spory   powstałe   przy   wykonywaniu   umowy   rozstrzygać  będzie  Sąd powszechny właściwy dla siedziby </w:t>
      </w:r>
      <w:r w:rsidRPr="0081087E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Wynajmującego.</w:t>
      </w:r>
    </w:p>
    <w:p w14:paraId="5323A008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 xml:space="preserve">Umowę sporządzono w 2 jednobrzmiących egzemplarzach, po jednym dla każdej ze Stron,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 których każdy po odczytaniu i zaparafowaniu podpisano.</w:t>
      </w:r>
    </w:p>
    <w:p w14:paraId="7B29D5C7" w14:textId="77777777" w:rsidR="0081087E" w:rsidRPr="0081087E" w:rsidRDefault="0081087E" w:rsidP="00256DB6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A341AE0" w14:textId="32A6C12C" w:rsidR="0081087E" w:rsidRPr="00256DB6" w:rsidRDefault="0081087E" w:rsidP="00256DB6">
      <w:pPr>
        <w:spacing w:after="0" w:line="276" w:lineRule="auto"/>
        <w:ind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WYNAJMUJĄCY 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 xml:space="preserve">   NAJEMC</w:t>
      </w:r>
      <w:r w:rsidR="00256DB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A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  </w:t>
      </w:r>
    </w:p>
    <w:p w14:paraId="6BF802E7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 </w:t>
      </w:r>
    </w:p>
    <w:p w14:paraId="2494379A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525E722" w14:textId="3E7FCB31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………………………………………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       </w:t>
      </w:r>
      <w:r w:rsidR="00256DB6">
        <w:rPr>
          <w:rFonts w:ascii="Tahoma" w:eastAsia="Times New Roman" w:hAnsi="Tahoma" w:cs="Tahoma"/>
          <w:sz w:val="20"/>
          <w:szCs w:val="20"/>
          <w:lang w:eastAsia="pl-PL"/>
        </w:rPr>
        <w:t xml:space="preserve">   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   ………………………………………</w:t>
      </w:r>
    </w:p>
    <w:p w14:paraId="3F762629" w14:textId="2B6BFA1A" w:rsidR="004D5F3F" w:rsidRDefault="004D5F3F" w:rsidP="0081087E">
      <w:pPr>
        <w:spacing w:after="0" w:line="276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686676C2" w14:textId="4A0D0DE8" w:rsidR="00256DB6" w:rsidRDefault="00256DB6" w:rsidP="0081087E">
      <w:pPr>
        <w:spacing w:after="0" w:line="276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2E0BF5EB" w14:textId="77777777" w:rsidR="00256DB6" w:rsidRPr="004D5F3F" w:rsidRDefault="00256DB6" w:rsidP="0081087E">
      <w:pPr>
        <w:spacing w:after="0" w:line="276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32A2D859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t>Załączniki: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2C52A5ED" w14:textId="47C78DEA" w:rsidR="004D5F3F" w:rsidRPr="004D5F3F" w:rsidRDefault="004D5F3F" w:rsidP="0081087E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1. Opis stanu technicznego i wyposażenia </w:t>
      </w:r>
      <w:r w:rsidR="0081087E">
        <w:rPr>
          <w:rFonts w:ascii="Tahoma" w:eastAsia="Calibri" w:hAnsi="Tahoma" w:cs="Tahoma"/>
          <w:sz w:val="20"/>
          <w:szCs w:val="20"/>
        </w:rPr>
        <w:t>przedmiotu najm</w:t>
      </w:r>
      <w:r w:rsidR="00F722D2">
        <w:rPr>
          <w:rFonts w:ascii="Tahoma" w:eastAsia="Calibri" w:hAnsi="Tahoma" w:cs="Tahoma"/>
          <w:sz w:val="20"/>
          <w:szCs w:val="20"/>
        </w:rPr>
        <w:t>u</w:t>
      </w:r>
      <w:r w:rsidRPr="004D5F3F">
        <w:rPr>
          <w:rFonts w:ascii="Tahoma" w:eastAsia="Calibri" w:hAnsi="Tahoma" w:cs="Tahoma"/>
          <w:sz w:val="20"/>
          <w:szCs w:val="20"/>
        </w:rPr>
        <w:t>,</w:t>
      </w:r>
    </w:p>
    <w:p w14:paraId="3B0CCE0A" w14:textId="786D40C6" w:rsidR="0048114D" w:rsidRDefault="004D5F3F" w:rsidP="00C22348">
      <w:pPr>
        <w:spacing w:after="0" w:line="276" w:lineRule="auto"/>
      </w:pPr>
      <w:r w:rsidRPr="004D5F3F">
        <w:rPr>
          <w:rFonts w:ascii="Tahoma" w:eastAsia="Calibri" w:hAnsi="Tahoma" w:cs="Tahoma"/>
          <w:sz w:val="20"/>
          <w:szCs w:val="20"/>
        </w:rPr>
        <w:t>2. Harmonogram najmu</w:t>
      </w:r>
    </w:p>
    <w:sectPr w:rsidR="0048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FFB"/>
    <w:multiLevelType w:val="hybridMultilevel"/>
    <w:tmpl w:val="0F14C6EA"/>
    <w:lvl w:ilvl="0" w:tplc="0186E6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436F"/>
    <w:multiLevelType w:val="hybridMultilevel"/>
    <w:tmpl w:val="43B4B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568"/>
    <w:multiLevelType w:val="hybridMultilevel"/>
    <w:tmpl w:val="633A2294"/>
    <w:lvl w:ilvl="0" w:tplc="0EA40E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DF6DB8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29F6"/>
    <w:multiLevelType w:val="hybridMultilevel"/>
    <w:tmpl w:val="550AE5E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1697"/>
    <w:multiLevelType w:val="hybridMultilevel"/>
    <w:tmpl w:val="A642E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44EDB"/>
    <w:multiLevelType w:val="hybridMultilevel"/>
    <w:tmpl w:val="600E6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4FE8"/>
    <w:multiLevelType w:val="hybridMultilevel"/>
    <w:tmpl w:val="690433C6"/>
    <w:lvl w:ilvl="0" w:tplc="28F0F18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240"/>
    <w:multiLevelType w:val="hybridMultilevel"/>
    <w:tmpl w:val="AD3E9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D0F38"/>
    <w:multiLevelType w:val="hybridMultilevel"/>
    <w:tmpl w:val="FA1CA8E4"/>
    <w:lvl w:ilvl="0" w:tplc="0408080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81E55"/>
    <w:multiLevelType w:val="hybridMultilevel"/>
    <w:tmpl w:val="0B003F56"/>
    <w:lvl w:ilvl="0" w:tplc="14D22C90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4822"/>
    <w:multiLevelType w:val="hybridMultilevel"/>
    <w:tmpl w:val="BD527F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97077"/>
    <w:multiLevelType w:val="hybridMultilevel"/>
    <w:tmpl w:val="A6B85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AD7601"/>
    <w:multiLevelType w:val="hybridMultilevel"/>
    <w:tmpl w:val="211450DC"/>
    <w:lvl w:ilvl="0" w:tplc="2F18146E">
      <w:start w:val="3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9057D8"/>
    <w:multiLevelType w:val="hybridMultilevel"/>
    <w:tmpl w:val="40F41C10"/>
    <w:lvl w:ilvl="0" w:tplc="1ABC21C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940B57"/>
    <w:multiLevelType w:val="hybridMultilevel"/>
    <w:tmpl w:val="6BAE5D94"/>
    <w:lvl w:ilvl="0" w:tplc="FD4851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4468D"/>
    <w:multiLevelType w:val="hybridMultilevel"/>
    <w:tmpl w:val="2DB27F80"/>
    <w:lvl w:ilvl="0" w:tplc="EFB8E9E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D12AD"/>
    <w:multiLevelType w:val="hybridMultilevel"/>
    <w:tmpl w:val="5C5E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96B56"/>
    <w:multiLevelType w:val="hybridMultilevel"/>
    <w:tmpl w:val="2C96C9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E2DA9"/>
    <w:multiLevelType w:val="hybridMultilevel"/>
    <w:tmpl w:val="B6FC8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D51CF"/>
    <w:multiLevelType w:val="hybridMultilevel"/>
    <w:tmpl w:val="674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4"/>
  </w:num>
  <w:num w:numId="20">
    <w:abstractNumId w:val="7"/>
  </w:num>
  <w:num w:numId="21">
    <w:abstractNumId w:val="5"/>
  </w:num>
  <w:num w:numId="22">
    <w:abstractNumId w:val="18"/>
  </w:num>
  <w:num w:numId="23">
    <w:abstractNumId w:val="11"/>
  </w:num>
  <w:num w:numId="24">
    <w:abstractNumId w:val="0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4D"/>
    <w:rsid w:val="00022BC5"/>
    <w:rsid w:val="001373FE"/>
    <w:rsid w:val="00171242"/>
    <w:rsid w:val="00256DB6"/>
    <w:rsid w:val="003604D3"/>
    <w:rsid w:val="00407A41"/>
    <w:rsid w:val="0048114D"/>
    <w:rsid w:val="004D5F3F"/>
    <w:rsid w:val="005312AD"/>
    <w:rsid w:val="006C0299"/>
    <w:rsid w:val="006C7161"/>
    <w:rsid w:val="0081087E"/>
    <w:rsid w:val="00941466"/>
    <w:rsid w:val="009674DC"/>
    <w:rsid w:val="009D4453"/>
    <w:rsid w:val="009D4807"/>
    <w:rsid w:val="009E4855"/>
    <w:rsid w:val="00A04BF7"/>
    <w:rsid w:val="00C22348"/>
    <w:rsid w:val="00C40CC9"/>
    <w:rsid w:val="00C63D17"/>
    <w:rsid w:val="00D810BC"/>
    <w:rsid w:val="00E019F7"/>
    <w:rsid w:val="00F722D2"/>
    <w:rsid w:val="00FA215F"/>
    <w:rsid w:val="00F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D54"/>
  <w15:chartTrackingRefBased/>
  <w15:docId w15:val="{6E42C708-6C98-4220-8583-17AAB4EF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9F7"/>
    <w:pPr>
      <w:ind w:left="720"/>
      <w:contextualSpacing/>
    </w:pPr>
  </w:style>
  <w:style w:type="paragraph" w:styleId="Poprawka">
    <w:name w:val="Revision"/>
    <w:hidden/>
    <w:uiPriority w:val="99"/>
    <w:semiHidden/>
    <w:rsid w:val="009D4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7AA929E7938147B577613F66E82D50" ma:contentTypeVersion="36" ma:contentTypeDescription="Utwórz nowy dokument." ma:contentTypeScope="" ma:versionID="432247ccd8e869f2b41cc3af37965397">
  <xsd:schema xmlns:xsd="http://www.w3.org/2001/XMLSchema" xmlns:xs="http://www.w3.org/2001/XMLSchema" xmlns:p="http://schemas.microsoft.com/office/2006/metadata/properties" xmlns:ns3="fc583837-ac66-4456-a78a-17b6263f67bf" xmlns:ns4="ff166dec-adef-438e-b077-fb4f8955a2d4" targetNamespace="http://schemas.microsoft.com/office/2006/metadata/properties" ma:root="true" ma:fieldsID="ea1a2808929d6530ae58c14323877038" ns3:_="" ns4:_="">
    <xsd:import namespace="fc583837-ac66-4456-a78a-17b6263f67bf"/>
    <xsd:import namespace="ff166dec-adef-438e-b077-fb4f8955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Distribution_Groups" minOccurs="0"/>
                <xsd:element ref="ns3:LMS_Mapping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Teams_Channel_Section_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83837-ac66-4456-a78a-17b6263f6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6dec-adef-438e-b077-fb4f8955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fc583837-ac66-4456-a78a-17b6263f67bf" xsi:nil="true"/>
    <IsNotebookLocked xmlns="fc583837-ac66-4456-a78a-17b6263f67bf" xsi:nil="true"/>
    <Is_Collaboration_Space_Locked xmlns="fc583837-ac66-4456-a78a-17b6263f67bf" xsi:nil="true"/>
    <_activity xmlns="fc583837-ac66-4456-a78a-17b6263f67bf" xsi:nil="true"/>
    <Math_Settings xmlns="fc583837-ac66-4456-a78a-17b6263f67bf" xsi:nil="true"/>
    <Owner xmlns="fc583837-ac66-4456-a78a-17b6263f67bf">
      <UserInfo>
        <DisplayName/>
        <AccountId xsi:nil="true"/>
        <AccountType/>
      </UserInfo>
    </Owner>
    <NotebookType xmlns="fc583837-ac66-4456-a78a-17b6263f67bf" xsi:nil="true"/>
    <Students xmlns="fc583837-ac66-4456-a78a-17b6263f67bf">
      <UserInfo>
        <DisplayName/>
        <AccountId xsi:nil="true"/>
        <AccountType/>
      </UserInfo>
    </Students>
    <AppVersion xmlns="fc583837-ac66-4456-a78a-17b6263f67bf" xsi:nil="true"/>
    <DefaultSectionNames xmlns="fc583837-ac66-4456-a78a-17b6263f67bf" xsi:nil="true"/>
    <Student_Groups xmlns="fc583837-ac66-4456-a78a-17b6263f67bf">
      <UserInfo>
        <DisplayName/>
        <AccountId xsi:nil="true"/>
        <AccountType/>
      </UserInfo>
    </Student_Groups>
    <Invited_Teachers xmlns="fc583837-ac66-4456-a78a-17b6263f67bf" xsi:nil="true"/>
    <Invited_Students xmlns="fc583837-ac66-4456-a78a-17b6263f67bf" xsi:nil="true"/>
    <Templates xmlns="fc583837-ac66-4456-a78a-17b6263f67bf" xsi:nil="true"/>
    <Self_Registration_Enabled xmlns="fc583837-ac66-4456-a78a-17b6263f67bf" xsi:nil="true"/>
    <Has_Teacher_Only_SectionGroup xmlns="fc583837-ac66-4456-a78a-17b6263f67bf" xsi:nil="true"/>
    <CultureName xmlns="fc583837-ac66-4456-a78a-17b6263f67bf" xsi:nil="true"/>
    <Distribution_Groups xmlns="fc583837-ac66-4456-a78a-17b6263f67bf" xsi:nil="true"/>
    <LMS_Mappings xmlns="fc583837-ac66-4456-a78a-17b6263f67bf" xsi:nil="true"/>
    <Teams_Channel_Section_Location xmlns="fc583837-ac66-4456-a78a-17b6263f67bf" xsi:nil="true"/>
    <FolderType xmlns="fc583837-ac66-4456-a78a-17b6263f67bf" xsi:nil="true"/>
    <Teachers xmlns="fc583837-ac66-4456-a78a-17b6263f67bf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3674B5C0-35DD-435E-80C5-B825AF5A7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83837-ac66-4456-a78a-17b6263f67bf"/>
    <ds:schemaRef ds:uri="ff166dec-adef-438e-b077-fb4f8955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27380-7B05-46B7-A1B2-1C22FCAEE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966D6-F54A-4814-99F5-5D7D9E28865B}">
  <ds:schemaRefs>
    <ds:schemaRef ds:uri="fc583837-ac66-4456-a78a-17b6263f67bf"/>
    <ds:schemaRef ds:uri="http://purl.org/dc/elements/1.1/"/>
    <ds:schemaRef ds:uri="http://schemas.microsoft.com/office/2006/metadata/properties"/>
    <ds:schemaRef ds:uri="http://purl.org/dc/terms/"/>
    <ds:schemaRef ds:uri="ff166dec-adef-438e-b077-fb4f8955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2622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WójcikRMLO</dc:creator>
  <cp:keywords/>
  <dc:description/>
  <cp:lastModifiedBy>Anna Mikuś</cp:lastModifiedBy>
  <cp:revision>2</cp:revision>
  <dcterms:created xsi:type="dcterms:W3CDTF">2023-08-08T09:31:00Z</dcterms:created>
  <dcterms:modified xsi:type="dcterms:W3CDTF">2023-08-08T09:31:00Z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0x010100577AA929E7938147B577613F66E82D50</vt:lpwstr>
  </property>
</Properties>
</file>